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6F9" w:rsidRPr="00D059E3" w:rsidRDefault="00E90F7B" w:rsidP="00E90F7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059E3">
        <w:rPr>
          <w:rFonts w:ascii="Arial" w:hAnsi="Arial" w:cs="Arial"/>
          <w:b/>
          <w:sz w:val="18"/>
          <w:szCs w:val="18"/>
        </w:rPr>
        <w:t>ESTADISTICAS E INDICADORES SOBRE EMPLEO Y SALARIOS</w:t>
      </w:r>
    </w:p>
    <w:p w:rsidR="00E90F7B" w:rsidRDefault="00E90F7B" w:rsidP="00E90F7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A2B25" w:rsidRDefault="00DA2B25" w:rsidP="00E90F7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A2B25" w:rsidRDefault="00DA2B25" w:rsidP="00DA2B25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60F004D7" wp14:editId="72F69DD8">
            <wp:extent cx="4572000" cy="2143125"/>
            <wp:effectExtent l="0" t="0" r="0" b="952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4453BF3E-8841-415B-835C-19D398483A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E90F7B" w:rsidRPr="00D059E3" w:rsidRDefault="00E90F7B" w:rsidP="00D059E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0F7B" w:rsidRPr="00D059E3" w:rsidRDefault="00E90F7B" w:rsidP="00D059E3">
      <w:pPr>
        <w:spacing w:after="0"/>
        <w:jc w:val="both"/>
        <w:rPr>
          <w:rFonts w:ascii="Arial" w:hAnsi="Arial" w:cs="Arial"/>
          <w:sz w:val="18"/>
          <w:szCs w:val="18"/>
        </w:rPr>
      </w:pPr>
      <w:r w:rsidRPr="00D059E3">
        <w:rPr>
          <w:rFonts w:ascii="Arial" w:hAnsi="Arial" w:cs="Arial"/>
          <w:sz w:val="18"/>
          <w:szCs w:val="18"/>
        </w:rPr>
        <w:t xml:space="preserve">En esta sección de la página web de la Fundación del Trabajo se presenta una serie de estadísticas e indicadores de la Encuesta de Mercado Laboral (EML) del mes de </w:t>
      </w:r>
      <w:r w:rsidRPr="00AC0C61">
        <w:rPr>
          <w:rFonts w:ascii="Arial" w:hAnsi="Arial" w:cs="Arial"/>
          <w:b/>
          <w:sz w:val="18"/>
          <w:szCs w:val="18"/>
        </w:rPr>
        <w:t>agosto</w:t>
      </w:r>
      <w:r w:rsidRPr="00D059E3">
        <w:rPr>
          <w:rFonts w:ascii="Arial" w:hAnsi="Arial" w:cs="Arial"/>
          <w:sz w:val="18"/>
          <w:szCs w:val="18"/>
        </w:rPr>
        <w:t xml:space="preserve"> de cada año (2007 – 2017).</w:t>
      </w:r>
    </w:p>
    <w:p w:rsidR="00E90F7B" w:rsidRPr="00D059E3" w:rsidRDefault="00E90F7B" w:rsidP="00D059E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059E3" w:rsidRDefault="00D059E3" w:rsidP="00D059E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Se trata de 50 tablas con diversos cruces de variables, muchos de ellos no publicados oficialmente, incluyendo datos absolutos y relativos útiles para efectos del análisis del empleo y salarios</w:t>
      </w:r>
      <w:r w:rsidRPr="00D059E3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:</w:t>
      </w:r>
    </w:p>
    <w:p w:rsidR="00D059E3" w:rsidRPr="00D059E3" w:rsidRDefault="00D059E3" w:rsidP="00D059E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</w:p>
    <w:p w:rsidR="00D059E3" w:rsidRDefault="00D059E3" w:rsidP="00D059E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D059E3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Estadísticas sobre condición de actividad de la población por sexo y grupos de edad</w:t>
      </w:r>
    </w:p>
    <w:p w:rsidR="00D059E3" w:rsidRPr="00D059E3" w:rsidRDefault="00D059E3" w:rsidP="00D059E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D059E3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Características de la población ocupada de acuerdo a:</w:t>
      </w:r>
    </w:p>
    <w:p w:rsidR="00D059E3" w:rsidRPr="00D059E3" w:rsidRDefault="00D059E3" w:rsidP="00D059E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D059E3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La rama de actividad económica</w:t>
      </w:r>
    </w:p>
    <w:p w:rsidR="00D059E3" w:rsidRPr="00D059E3" w:rsidRDefault="00D059E3" w:rsidP="00D059E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D059E3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Categoría de ocupación</w:t>
      </w:r>
    </w:p>
    <w:p w:rsidR="00D059E3" w:rsidRPr="00D059E3" w:rsidRDefault="00D059E3" w:rsidP="00D059E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D059E3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Grupo ocupacional</w:t>
      </w:r>
    </w:p>
    <w:p w:rsidR="00D059E3" w:rsidRPr="00D059E3" w:rsidRDefault="00D059E3" w:rsidP="00D059E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D059E3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Nivel educativo</w:t>
      </w:r>
    </w:p>
    <w:p w:rsidR="00D059E3" w:rsidRPr="00D059E3" w:rsidRDefault="00D059E3" w:rsidP="00D059E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D059E3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Situación del empleo según tamaño de empresa</w:t>
      </w:r>
    </w:p>
    <w:p w:rsidR="00D059E3" w:rsidRPr="00D059E3" w:rsidRDefault="00D059E3" w:rsidP="00D059E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D059E3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Acceso a la seguridad social</w:t>
      </w:r>
    </w:p>
    <w:p w:rsidR="00D059E3" w:rsidRPr="00D059E3" w:rsidRDefault="00D059E3" w:rsidP="00D059E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D059E3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Salarios</w:t>
      </w:r>
    </w:p>
    <w:p w:rsidR="00D059E3" w:rsidRPr="00D059E3" w:rsidRDefault="00D059E3" w:rsidP="00D059E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D059E3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Situación ocupacional considerando las dimensiones rural – urbanas</w:t>
      </w:r>
    </w:p>
    <w:p w:rsidR="00D059E3" w:rsidRPr="00D059E3" w:rsidRDefault="00D059E3" w:rsidP="00D059E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D059E3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Situación ocupacional de los jóvenes</w:t>
      </w:r>
    </w:p>
    <w:p w:rsidR="00E90F7B" w:rsidRPr="00D059E3" w:rsidRDefault="00D059E3" w:rsidP="00D059E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59E3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Evolución del empleo informal  </w:t>
      </w:r>
    </w:p>
    <w:p w:rsidR="00E90F7B" w:rsidRDefault="00E90F7B" w:rsidP="00D059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0F7B" w:rsidRDefault="00D059E3" w:rsidP="00D059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la información se pueden construir gráficos y esquemas sobre las características y tendencias del mercado laboral para el período considerado, en diversos temas del mundo del trabajo. </w:t>
      </w:r>
      <w:r w:rsidR="00AC0C61">
        <w:rPr>
          <w:rFonts w:ascii="Arial" w:hAnsi="Arial" w:cs="Arial"/>
          <w:sz w:val="20"/>
          <w:szCs w:val="20"/>
        </w:rPr>
        <w:t>Por ejemplo, una imagen de la informalidad, en sus dimensiones y características para el año 2017 se presenta en el siguiente esquema.</w:t>
      </w:r>
    </w:p>
    <w:p w:rsidR="00AC0C61" w:rsidRDefault="00AC0C61" w:rsidP="00D059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0F7B" w:rsidRDefault="00AC0C61" w:rsidP="00AC0C6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0C61">
        <w:rPr>
          <w:rFonts w:ascii="Arial" w:hAnsi="Arial" w:cs="Arial"/>
          <w:sz w:val="20"/>
          <w:szCs w:val="20"/>
        </w:rPr>
        <w:drawing>
          <wp:inline distT="0" distB="0" distL="0" distR="0" wp14:anchorId="685D9AAF" wp14:editId="37F45DCF">
            <wp:extent cx="4572000" cy="1933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405" cy="193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C61" w:rsidRDefault="00AC0C61" w:rsidP="00AC0C6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C0C61" w:rsidRDefault="00AC0C61" w:rsidP="00D059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0C61" w:rsidRDefault="00AC0C61" w:rsidP="00D059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2CB2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La FUNTRAB expresa su agradecimiento a las altas autoridades de la Contraloría General de la República y del INEC por </w:t>
      </w:r>
      <w:r>
        <w:rPr>
          <w:rFonts w:ascii="Arial" w:eastAsia="Times New Roman" w:hAnsi="Arial" w:cs="Arial"/>
          <w:color w:val="333333"/>
          <w:sz w:val="18"/>
          <w:szCs w:val="18"/>
          <w:lang w:eastAsia="es-ES"/>
        </w:rPr>
        <w:t>la política</w:t>
      </w:r>
      <w:r w:rsidRPr="00DD2CB2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 de transparencia con la información pública, al poner a disposición las bases de datos, sin las cuales no habría sido posible este producto</w:t>
      </w:r>
      <w:r>
        <w:rPr>
          <w:rFonts w:ascii="Arial" w:eastAsia="Times New Roman" w:hAnsi="Arial" w:cs="Arial"/>
          <w:color w:val="333333"/>
          <w:sz w:val="18"/>
          <w:szCs w:val="18"/>
          <w:lang w:eastAsia="es-ES"/>
        </w:rPr>
        <w:t>, que se pone a disposición de las organizaciones empresariales, sindicales, gubernamentales y de la Academia.</w:t>
      </w:r>
    </w:p>
    <w:p w:rsidR="00AC0C61" w:rsidRDefault="00AC0C61" w:rsidP="00D059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0C61" w:rsidRPr="00E90F7B" w:rsidRDefault="00AC0C61" w:rsidP="00D059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C0C61" w:rsidRPr="00E90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79EB"/>
    <w:multiLevelType w:val="multilevel"/>
    <w:tmpl w:val="F1F6FF4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B75279"/>
    <w:multiLevelType w:val="hybridMultilevel"/>
    <w:tmpl w:val="038A0CF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7B"/>
    <w:rsid w:val="000007F4"/>
    <w:rsid w:val="003756F9"/>
    <w:rsid w:val="00804D9B"/>
    <w:rsid w:val="00AC0C61"/>
    <w:rsid w:val="00C72D1D"/>
    <w:rsid w:val="00D059E3"/>
    <w:rsid w:val="00DA2B25"/>
    <w:rsid w:val="00E9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E3916"/>
  <w15:chartTrackingRefBased/>
  <w15:docId w15:val="{E22153D6-051B-498A-BCB0-78382BBB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5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PA" sz="1000"/>
              <a:t>Panamá. Tasas de desempleo (Encuestas de marzo y agosto de cada año)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PA"/>
        </a:p>
      </c:txPr>
    </c:title>
    <c:autoTitleDeleted val="0"/>
    <c:plotArea>
      <c:layout>
        <c:manualLayout>
          <c:layoutTarget val="inner"/>
          <c:xMode val="edge"/>
          <c:yMode val="edge"/>
          <c:x val="0.10344203849518811"/>
          <c:y val="0.13615740740740739"/>
          <c:w val="0.89655796150481193"/>
          <c:h val="0.58109543598716829"/>
        </c:manualLayout>
      </c:layout>
      <c:lineChart>
        <c:grouping val="standard"/>
        <c:varyColors val="0"/>
        <c:ser>
          <c:idx val="0"/>
          <c:order val="0"/>
          <c:tx>
            <c:strRef>
              <c:f>Hoja1!$A$67</c:f>
              <c:strCache>
                <c:ptCount val="1"/>
                <c:pt idx="0">
                  <c:v>Agosto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es-P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Hoja1!$B$66:$H$66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Hoja1!$B$67:$H$67</c:f>
              <c:numCache>
                <c:formatCode>0.0</c:formatCode>
                <c:ptCount val="7"/>
                <c:pt idx="0">
                  <c:v>4.0504580705679647</c:v>
                </c:pt>
                <c:pt idx="1">
                  <c:v>4.0984137706794446</c:v>
                </c:pt>
                <c:pt idx="2">
                  <c:v>4.8226935224722194</c:v>
                </c:pt>
                <c:pt idx="3">
                  <c:v>5.0522668118203118</c:v>
                </c:pt>
                <c:pt idx="4">
                  <c:v>5.4942879025220757</c:v>
                </c:pt>
                <c:pt idx="5" formatCode="#,##0.0">
                  <c:v>6.1303237831521749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DD-49E1-8FA6-244DB75E96F2}"/>
            </c:ext>
          </c:extLst>
        </c:ser>
        <c:ser>
          <c:idx val="1"/>
          <c:order val="1"/>
          <c:tx>
            <c:strRef>
              <c:f>Hoja1!$A$68</c:f>
              <c:strCache>
                <c:ptCount val="1"/>
                <c:pt idx="0">
                  <c:v>marzo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-6.4618110236220466E-2"/>
                  <c:y val="-9.02431466899971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DD-49E1-8FA6-244DB75E96F2}"/>
                </c:ext>
              </c:extLst>
            </c:dLbl>
            <c:dLbl>
              <c:idx val="4"/>
              <c:layout>
                <c:manualLayout>
                  <c:x val="-3.9618110236220576E-2"/>
                  <c:y val="-0.115242927967337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1DD-49E1-8FA6-244DB75E96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es-P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Hoja1!$B$66:$H$66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Hoja1!$B$68:$H$68</c:f>
              <c:numCache>
                <c:formatCode>General</c:formatCode>
                <c:ptCount val="7"/>
                <c:pt idx="0">
                  <c:v>4.7</c:v>
                </c:pt>
                <c:pt idx="1">
                  <c:v>4.5</c:v>
                </c:pt>
                <c:pt idx="2">
                  <c:v>4.3</c:v>
                </c:pt>
                <c:pt idx="3">
                  <c:v>5.2</c:v>
                </c:pt>
                <c:pt idx="4">
                  <c:v>5.6</c:v>
                </c:pt>
                <c:pt idx="5">
                  <c:v>5.6</c:v>
                </c:pt>
                <c:pt idx="6">
                  <c:v>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1DD-49E1-8FA6-244DB75E96F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03414240"/>
        <c:axId val="503419488"/>
      </c:lineChart>
      <c:catAx>
        <c:axId val="50341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A"/>
          </a:p>
        </c:txPr>
        <c:crossAx val="503419488"/>
        <c:crosses val="autoZero"/>
        <c:auto val="1"/>
        <c:lblAlgn val="ctr"/>
        <c:lblOffset val="100"/>
        <c:noMultiLvlLbl val="0"/>
      </c:catAx>
      <c:valAx>
        <c:axId val="503419488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503414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P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P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Madrid Lopez</dc:creator>
  <cp:keywords/>
  <dc:description/>
  <cp:lastModifiedBy>Maria Gabriela Madrid Lopez</cp:lastModifiedBy>
  <cp:revision>4</cp:revision>
  <dcterms:created xsi:type="dcterms:W3CDTF">2018-10-29T14:44:00Z</dcterms:created>
  <dcterms:modified xsi:type="dcterms:W3CDTF">2018-10-29T15:24:00Z</dcterms:modified>
</cp:coreProperties>
</file>